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after="0" w:line="240" w:lineRule="auto"/>
        <w:contextualSpacing w:val="0"/>
        <w:jc w:val="center"/>
      </w:pPr>
      <w:r w:rsidDel="00000000" w:rsidR="00000000" w:rsidRPr="00000000">
        <w:rPr>
          <w:rFonts w:ascii="Times New Roman" w:cs="Times New Roman" w:eastAsia="Times New Roman" w:hAnsi="Times New Roman"/>
          <w:smallCaps w:val="0"/>
          <w:sz w:val="28"/>
          <w:szCs w:val="28"/>
          <w:rtl w:val="0"/>
        </w:rPr>
        <w:t xml:space="preserve">Excerpt from the 2014 Annual Report of Italian National Anti-Mafia Directorate </w:t>
      </w:r>
    </w:p>
    <w:p w:rsidR="00000000" w:rsidDel="00000000" w:rsidP="00000000" w:rsidRDefault="00000000" w:rsidRPr="00000000">
      <w:pPr>
        <w:widowControl w:val="0"/>
        <w:spacing w:after="0" w:line="240" w:lineRule="auto"/>
        <w:contextualSpacing w:val="0"/>
        <w:jc w:val="center"/>
      </w:pPr>
      <w:r w:rsidDel="00000000" w:rsidR="00000000" w:rsidRPr="00000000">
        <w:rPr>
          <w:rFonts w:ascii="Times New Roman" w:cs="Times New Roman" w:eastAsia="Times New Roman" w:hAnsi="Times New Roman"/>
          <w:smallCaps w:val="0"/>
          <w:sz w:val="28"/>
          <w:szCs w:val="28"/>
          <w:rtl w:val="0"/>
        </w:rPr>
        <w:t xml:space="preserve">(non official translation)</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Period: 01 July 2013 - 30 June 2014</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From page 352 to page 356, original Italian</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The Italian situation - The exceptional expansion in Italy of hashish consumption. The issue of decriminalization.</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The trafficking of hard drugs: cocaine, heroin and synthetic drugs.</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The most important anti-drug operations.</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The starting point of the analysis elaborated (by the Anti-Mafia Directorate) that covers the current economic and criminal relevance of drug trafficking in Italy (and other countries interconnected with it) can only move from objective and statistical figures in order to allow a concrete measurement - beyond all sorts of influences often dictated by pre-judgments or prejudices - of the exact dimension of the phenomenon (and therefore the entity of the repressive impact).</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The data presented here in the report must be compared with that of previous years. Only in this way, the comprehensive and dynamic picture of market trends of drugs will emerge (and, from there the extent of the quality of the institutional response).</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The outcome of this survey will allow the elaboration of some thoughts. Among the figures collected and made available, and to be considered reliable in order to understand which way the market moves, there are those relating to seizures of narcotics all over the national territory, which photograph the supply of illicit substances.</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According to the established international criminological literature, which on the point reflects a substantially unanimous orientation, the figure concerning the seizures of narcotics is a true reflection of market dynamics: given a certain total amount of illicit substances seized in a given year and in a given territory, and for a historical homogenous period, the increase or decrease of the presence of substances can be inferred, and therefore calculated in comparison with similar figures of the same period of the previous year in the same territory. A prudent estimate, at least in today's Italy, will put the amount of drugs available on the market at 10/20 times that seized.</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It must be noted that, to give a concrete meaning to the data regarding the present year, which, in the period preceding the one at the center of the present report (i.e. from 1 July 2012 to 30 June 2013) interdictions in Italy were: 3.748 kg of cocaine - a figure that confirmed the very strong offer of this kind of substance in the country; 830 kg of heroin (a substance for which there was a decrease in the demand if compared with the previous trends); 63.132 kg of cannabis of which 35.849 were of marijuana, 27.282 kg of hashish and 4.074 kg of cannabis plants (a figure that signals a growing market but also the trend of "self-production" made of domestic micro-plantations spread throughout national territory). As far as seizures of synthetic drugs are concerned: 24 kg of amphetamine powder; 18.742 doses of the same substance (but in tablets) and 2.252 doses of LSD (a figure that for its small size, if compared to the perception of the phenomenon, even if increased compared to the past, is to be considered more complex to analyze - and makes inadequate the action of contrast).</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During the period covered by the present report (07 January 2013 to 30 June 2014) there was a significant, but not outstanding, increase in seizures of all drugs mentioned above, except the data on cannabis, which showed a very considerable increase of over 120%.</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A decrease in seizure was registered for other substance: 4,499 kg of cocaine; 851 kg of heroin; 147,132 kg of cannabis (of which 109,000 of hashish, 37,151 of marijuana, 900 plants); 74 kg of amphetamine powder as well as 4625 doses of the same drug.</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The significant increase in seizures of amphetamines - which notwithstanding the reduction of seizures of doses, are, however, at least doubled - confirms what said earlier: the entity of previous seizures was due, rather than to the low presence of illicit substance on the national territory, to the inadequacy of interdictions actions facing a new phenomenon that does not imply traditional trafficking drugs routes nor the usual geo-criminal map of organizations of traffickers - an element that usually helps to pursue investigative targets. </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In the case of trafficking of synthetic drugs, where production is pulverized, and the phenomenon of domestic production laboratories, implantable everywhere and anywhere in the world, makes interdiction even more complicated, it must be noted that with little expenses and some basic know-how anybody can produce these drugs.</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It therefore appears easily foreseeable that the technical investigation will be ripe over the years and with the refinement of specific investigative techniques necessary to intercept the above-mentioned substances and to identify the channels of traffic. Only then, we will see a significant increase in seizures (which will not necessarily mean a proportional increase in consumption) and an adjustment of the data - like the on the traffic of cocaine and heroin.</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From that moment on, the change of quantities seized will allow a better appreciation of the evolution of the supply/demand dynamic in Italy.</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As far as the figures on seizures of cannabis are concerned, the peak of appears to be the demonstration of the increasingly widespread dissemination of this substance throughout the national territory.</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Lacking new, consolidated and special investigative techniques in this field, it is therefore reasonable to consider that the seizure of such an impressive amount of substance also implies an increase in circulation of cannabinoids.</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In order to gain full knowledge of the real dimension that concerns the phenomenon of the consumption of so-called "soft drugs", it is sufficient to observe that, as stated above, the quantity seized is at least 10/20 times lower than that consumed. All this considered, it must be reasonably assumed that in Italy there is a market that approximately sells between 1.5 and 3 million kg of cannabis a year, an amount that meets a market demand of gigantic proportions.</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By way of example, the indicated amount would allow each Italian citizen (some 60 million people, including elderly and children) a consumption of about 25/50 grams per capita (approximately 100/200 doses) per year.</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In the face of numbers like those presented above - and without any ideological bias, be it prohibitionist or anti-prohibitionist - the Anti-Mafia Directorate has the duty to point out to the competent authorities that, objectively, and despite the best efforts made by the administration to contrast the spread of cannabinoids, we must record the total failure of the repressive actions  and of their effects on the spread of the drug in question.</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When the Anti-Mafia Directorate speaks of "maximum efforts made" in that specific enforcement action, it means that - subject to the quality improvements that are always possible and that may imply the rationalization or adjustments in resource - the national repressive and investigative system, which this Office observes from a privileged position, is literally impossibility to improve in its efforts to crack down in a more efficient way on the dissemination of cannabinoids. </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This for the simple reason that, today, with current resources, it is neither feasible nor desirable, to commit more resources and people to anti-drug activities, considered in a global sense, that is including all drugs. Such a commitment is already absorbing a huge amount of human and material resources, while a structural change would redirect more men and vehicles currently deployed on this front to other investigative emergencies linked to more virulent criminals, such as mafia-type crime, extortion, human and waste trafficking or corruption, etc. that now remain uncovered. </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At the same time, it would be inconceivable to move resources within the same front, from combating the trafficking of (lethal) or "heavy" drugs to the fight against trafficking of "soft" drugs - a grotesque contradiction.</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It can be said that statistical and raw data indicate, in this specific context, the emergence of a phenomenon that has become endemic, widespread and developed everywhere, not unlike, as in terms of and social penetration and diffusion, that of the consumption of licit substances, which abuse can also be harmful, such as tobacco and alcohol.</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The circumstance is aggravated by the fact that the trend may reasonably be considered growing further for historical and social reasons but also due to the lower deterrence of criminal laws regarding so-called soft drugs, as sanctioned by the recent judgment No. 32/2014 of the Constitutional Court, which basically does not allow the arrest in flagrante delicto.</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Confronted with the context outlined above, which shows the objective inadequacy of all repressive efforts, it will be up to the legislative power to determine whether, in the context of a broader (we assume, at least, European, context - as we talk about a unified market now also in the field of drugs) it would be opportune a decriminalization of the matter, taking into account the fact that, in the balancing of conflicting interests, one will need to keep in mind on the one hand the concrete (and not merely theorical) procedures and measures more suitable to ensure, in this area too, the right to health of citizens (especially children), and on the other, the consequences that decriminalizing would mean in terms of deflating judiciary work, freeing resources making them available to the police and the judiciary to contrast other criminal phenomena and, finally, draining substantial parts of a market which, at least in part, is the prerogative of aggressive criminal associations.</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As far as the analysis of the traffic of "hard drugs" is concerned, it can be said that in general, among the Italian mafia organizations, it is always the 'Ndrangheta (which has its origins in the region of Calabria) that plays the leading role in the global circuits of drug trafficking, especially when it comes to cocaine. Heroin trafficking is now firmly in the hands of the cartels that originate in the Balkans, with a predominant role of Kosovo Albanians - also active in the traffic of cannabis, together (or rather, in parallel) with associations based in the Maghreb.</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The 'Ndrangheta, therefore, confirms, as it is also evident from the ongoing investigations, to have by now acquired a position that, if not monopolistic, is at least oligopolistic in the context of the international trafficking of cocaine from South-America to Europe.</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So relevant is the position acquired by the 'Ndrangheta, that the other Italian criminal organizations (and not only them), which traffic in cocaine, are turning to it to buy it considering it the largest supplier in Europe. In fact, one can assert that the 'Ndrangheta would is one of the "seven sisters" of the world economic circuits of cocaine.</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Over the years, the 'Ndrangheta has consolidated its relations with large Mexican and Colombian cartels, increasing its reliability and solvency over time, affirmed its widespread presence and control of territories not only in (its own region of) Calabria, but also in territories that for different reasons represent key hubs of drug trafficking (in particular, the Netherlands, Germany, Lombardy, the port of Gioia Tauro (in Calabria), and also other areas in northern Italy, which are the places of landing of large loads, or among the largest markets for cocaine. All these elements make the 'Ndrangheta an extremely successful organization in this area.</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But if the presence of the 'Ndrangheta is sprawling, and manifests itself in different realities involved in the traffic, it is its absolute and penetrating control of the Port of Gioia Tauro, (as is also explained in the section of the present report devoted to the' Ndrangheta) one of the main strengths of this organization in the international context.</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The presence of a dense network of supporters of the 'Ndrangheta inside the Port of Gioia Tauro, finds and explanation in analysis emerged from numerous surveys that have to do with the "mafia" characteristics of this great organization dedicated to drug trafficking: its ability to determine, to the extent necessary and, above all, in the sensitive ganglia of the port, who can work in it - whether it is a business or and individual employees - a control that makes it virtually impossible for the beneficiaries, i.e. those that have been introduced and/or protected but 'Ndrangheta inside the Port (companies or individual workers) to refuse to cooperate in the activities of the "offloading" of drugs.</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pPr>
        <w:widowControl w:val="0"/>
        <w:spacing w:after="0" w:line="240" w:lineRule="auto"/>
        <w:contextualSpacing w:val="0"/>
      </w:pPr>
      <w:r w:rsidDel="00000000" w:rsidR="00000000" w:rsidRPr="00000000">
        <w:rPr>
          <w:rFonts w:ascii="Times New Roman" w:cs="Times New Roman" w:eastAsia="Times New Roman" w:hAnsi="Times New Roman"/>
          <w:smallCaps w:val="0"/>
          <w:sz w:val="28"/>
          <w:szCs w:val="28"/>
          <w:rtl w:val="0"/>
        </w:rPr>
        <w:t xml:space="preserve">The complexity of the intricacies of drug-related activities has enhanced trans-national synergies and has expanded the presence of foreign mafias in Italy and of Italian mafias (mainly the Camorra and the 'Ndrangheta) abroad. Logistics and transport activities of the finished product (cocaine) are mainly attributable to Mexican cartels, especially with regard to the North American market; the 'Ndrangheta, and the Nigerian networks supply the European market of any kind of substance. Organizations from the Balkans, traditionally the main carriers of heroin (and as has already said of cannabis derivatives of which Albania is also the leading producer in Europe) have recently been playing an important role also in the traffic of cocaine.</w:t>
      </w:r>
    </w:p>
    <w:sectPr>
      <w:pgSz w:h="16840" w:w="11900"/>
      <w:pgMar w:bottom="1134" w:top="1417"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spacing w:after="60" w:before="240" w:lineRule="auto"/>
      <w:contextualSpacing w:val="1"/>
    </w:pPr>
    <w:rPr>
      <w:b w:val="1"/>
      <w:smallCaps w:val="0"/>
      <w:sz w:val="28"/>
      <w:szCs w:val="28"/>
    </w:rPr>
  </w:style>
  <w:style w:type="paragraph" w:styleId="Heading5">
    <w:name w:val="heading 5"/>
    <w:basedOn w:val="Normal"/>
    <w:next w:val="Normal"/>
    <w:pPr>
      <w:spacing w:after="60" w:before="240" w:lineRule="auto"/>
      <w:contextualSpacing w:val="1"/>
    </w:pPr>
    <w:rPr>
      <w:b w:val="1"/>
      <w:i w:val="1"/>
      <w:smallCaps w:val="0"/>
      <w:sz w:val="26"/>
      <w:szCs w:val="26"/>
    </w:rPr>
  </w:style>
  <w:style w:type="paragraph" w:styleId="Heading6">
    <w:name w:val="heading 6"/>
    <w:basedOn w:val="Normal"/>
    <w:next w:val="Normal"/>
    <w:pPr>
      <w:spacing w:after="60" w:before="240" w:lineRule="auto"/>
      <w:contextualSpacing w:val="1"/>
    </w:pPr>
    <w:rPr>
      <w:b w:val="1"/>
      <w:smallCaps w:val="0"/>
    </w:rPr>
  </w:style>
  <w:style w:type="paragraph" w:styleId="Title">
    <w:name w:val="Title"/>
    <w:basedOn w:val="Normal"/>
    <w:next w:val="Normal"/>
    <w:pP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